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48"/>
        </w:rPr>
      </w:pPr>
      <w:r>
        <w:rPr>
          <w:rFonts w:cs="Calibri" w:ascii="Calibri" w:hAnsi="Calibri" w:cstheme="minorHAnsi"/>
          <w:b/>
          <w:bCs/>
          <w:sz w:val="44"/>
          <w:szCs w:val="48"/>
        </w:rPr>
        <w:t xml:space="preserve">KOMISJA REWIZYJNA </w:t>
        <w:br/>
        <w:t>RADY POWIATU CIESZYŃSKIEGO</w:t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52"/>
        </w:rPr>
      </w:pPr>
      <w:r>
        <w:rPr>
          <w:rFonts w:cs="Calibri" w:cstheme="minorHAnsi" w:ascii="Calibri" w:hAnsi="Calibri"/>
          <w:b/>
          <w:bCs/>
          <w:sz w:val="44"/>
          <w:szCs w:val="5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52"/>
        </w:rPr>
      </w:pPr>
      <w:r>
        <w:rPr>
          <w:rFonts w:cs="Calibri" w:cstheme="minorHAnsi" w:ascii="Calibri" w:hAnsi="Calibri"/>
          <w:b/>
          <w:bCs/>
          <w:sz w:val="44"/>
          <w:szCs w:val="5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Nagwek1"/>
        <w:overflowPunct w:val="true"/>
        <w:spacing w:lineRule="auto" w:line="276" w:before="0" w:after="240"/>
        <w:ind w:left="0" w:right="0" w:hanging="0"/>
        <w:rPr>
          <w:rFonts w:ascii="Calibri" w:hAnsi="Calibri" w:cs="Calibri" w:cstheme="minorHAnsi"/>
          <w:b/>
          <w:b/>
          <w:bCs/>
          <w:sz w:val="44"/>
          <w:szCs w:val="56"/>
        </w:rPr>
      </w:pPr>
      <w:r>
        <w:rPr>
          <w:rFonts w:cs="Calibri" w:ascii="Calibri" w:hAnsi="Calibri" w:cstheme="minorHAnsi"/>
          <w:b/>
          <w:bCs/>
          <w:sz w:val="44"/>
          <w:szCs w:val="56"/>
        </w:rPr>
        <w:t>PROTOKÓŁ</w:t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52"/>
        </w:rPr>
      </w:pPr>
      <w:r>
        <w:rPr>
          <w:rFonts w:cs="Calibri" w:ascii="Calibri" w:hAnsi="Calibri" w:cstheme="minorHAnsi"/>
          <w:b/>
          <w:bCs/>
          <w:sz w:val="44"/>
          <w:szCs w:val="52"/>
        </w:rPr>
        <w:t>Z</w:t>
      </w:r>
    </w:p>
    <w:p>
      <w:pPr>
        <w:pStyle w:val="Nagwek1"/>
        <w:overflowPunct w:val="true"/>
        <w:spacing w:lineRule="auto" w:line="276" w:before="0" w:after="240"/>
        <w:ind w:left="0" w:right="0" w:hanging="0"/>
        <w:rPr>
          <w:rFonts w:ascii="Calibri" w:hAnsi="Calibri" w:cs="Calibri" w:cstheme="minorHAnsi"/>
          <w:b/>
          <w:b/>
          <w:bCs/>
          <w:sz w:val="44"/>
          <w:szCs w:val="56"/>
        </w:rPr>
      </w:pPr>
      <w:r>
        <w:rPr>
          <w:rFonts w:cs="Calibri" w:ascii="Calibri" w:hAnsi="Calibri" w:cstheme="minorHAnsi"/>
          <w:b/>
          <w:bCs/>
          <w:sz w:val="44"/>
          <w:szCs w:val="56"/>
        </w:rPr>
        <w:t>KONTROLI</w:t>
      </w:r>
    </w:p>
    <w:p>
      <w:pPr>
        <w:pStyle w:val="Nagwek1"/>
        <w:overflowPunct w:val="true"/>
        <w:spacing w:lineRule="auto" w:line="276" w:before="0" w:after="240"/>
        <w:ind w:left="0" w:right="0" w:hanging="0"/>
        <w:rPr>
          <w:rFonts w:ascii="Calibri" w:hAnsi="Calibri" w:cs="Calibri" w:cstheme="minorHAnsi"/>
          <w:b/>
          <w:b/>
          <w:bCs/>
          <w:sz w:val="44"/>
          <w:szCs w:val="56"/>
        </w:rPr>
      </w:pPr>
      <w:r>
        <w:rPr>
          <w:rFonts w:cs="Calibri" w:ascii="Calibri" w:hAnsi="Calibri" w:cstheme="minorHAnsi"/>
          <w:b/>
          <w:bCs/>
          <w:sz w:val="44"/>
          <w:szCs w:val="56"/>
        </w:rPr>
        <w:t xml:space="preserve">BIURA POWIATOWEGO RZECZNIKA KONSUMENTÓW </w:t>
      </w:r>
    </w:p>
    <w:p>
      <w:pPr>
        <w:pStyle w:val="Nagwek1"/>
        <w:overflowPunct w:val="true"/>
        <w:spacing w:lineRule="auto" w:line="276" w:before="0" w:after="240"/>
        <w:ind w:left="0" w:right="0" w:hanging="0"/>
        <w:rPr>
          <w:rFonts w:ascii="Calibri" w:hAnsi="Calibri" w:cs="Calibri" w:cstheme="minorHAnsi"/>
          <w:b/>
          <w:b/>
          <w:bCs/>
          <w:sz w:val="44"/>
          <w:szCs w:val="56"/>
        </w:rPr>
      </w:pPr>
      <w:r>
        <w:rPr>
          <w:rFonts w:cs="Calibri" w:ascii="Calibri" w:hAnsi="Calibri" w:cstheme="minorHAnsi"/>
          <w:b/>
          <w:bCs/>
          <w:sz w:val="44"/>
          <w:szCs w:val="56"/>
        </w:rPr>
        <w:t>W CIESZYNIE</w:t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72"/>
        </w:rPr>
      </w:pPr>
      <w:r>
        <w:rPr>
          <w:rFonts w:cs="Calibri" w:cstheme="minorHAnsi" w:ascii="Calibri" w:hAnsi="Calibri"/>
          <w:b/>
          <w:bCs/>
          <w:sz w:val="44"/>
          <w:szCs w:val="72"/>
        </w:rPr>
      </w:r>
    </w:p>
    <w:p>
      <w:pPr>
        <w:pStyle w:val="Tretekstu"/>
        <w:overflowPunct w:val="true"/>
        <w:spacing w:lineRule="auto" w:line="276" w:before="0" w:after="240"/>
        <w:jc w:val="center"/>
        <w:rPr>
          <w:rFonts w:ascii="Calibri" w:hAnsi="Calibri" w:cs="Calibri" w:cstheme="minorHAnsi"/>
          <w:b/>
          <w:b/>
          <w:bCs/>
          <w:sz w:val="44"/>
          <w:szCs w:val="52"/>
        </w:rPr>
      </w:pPr>
      <w:r>
        <w:rPr>
          <w:rFonts w:cs="Calibri" w:ascii="Calibri" w:hAnsi="Calibri" w:cstheme="minorHAnsi"/>
          <w:b/>
          <w:bCs/>
          <w:sz w:val="44"/>
          <w:szCs w:val="52"/>
        </w:rPr>
        <w:t>CZERWIEC 2021 r.</w:t>
      </w:r>
      <w:r>
        <w:br w:type="page"/>
      </w:r>
    </w:p>
    <w:p>
      <w:pPr>
        <w:pStyle w:val="Tretekstu"/>
        <w:overflowPunct w:val="true"/>
        <w:spacing w:lineRule="auto" w:line="276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Komisja Rewizyjna Rady Powiatu Cieszyńskiego - Zespół Kontrolny dokonała kontroli Biura Powiatowego Rzecznika Konsumentów w Cieszynie w następującym składzie:</w:t>
      </w:r>
    </w:p>
    <w:p>
      <w:pPr>
        <w:pStyle w:val="Nagwek4"/>
        <w:numPr>
          <w:ilvl w:val="0"/>
          <w:numId w:val="2"/>
        </w:numPr>
        <w:tabs>
          <w:tab w:val="clear" w:pos="720"/>
          <w:tab w:val="left" w:pos="1038" w:leader="none"/>
          <w:tab w:val="left" w:pos="3625" w:leader="none"/>
        </w:tabs>
        <w:overflowPunct w:val="true"/>
        <w:spacing w:lineRule="auto" w:line="276"/>
        <w:ind w:left="0" w:firstLine="720"/>
        <w:rPr>
          <w:rFonts w:ascii="Calibri" w:hAnsi="Calibri" w:cs="Calibri" w:cstheme="minorHAnsi"/>
          <w:bCs w:val="false"/>
          <w:sz w:val="24"/>
          <w:szCs w:val="24"/>
          <w:u w:val="none"/>
        </w:rPr>
      </w:pPr>
      <w:r>
        <w:rPr>
          <w:rFonts w:cs="Calibri" w:ascii="Calibri" w:hAnsi="Calibri" w:cstheme="minorHAnsi"/>
          <w:bCs w:val="false"/>
          <w:sz w:val="24"/>
          <w:szCs w:val="24"/>
          <w:u w:val="none"/>
        </w:rPr>
        <w:t>Bogdan Ficek</w:t>
        <w:tab/>
        <w:t>- przewodniczący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4" w:leader="none"/>
          <w:tab w:val="left" w:pos="3625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  <w:b/>
          <w:b/>
        </w:rPr>
      </w:pPr>
      <w:r>
        <w:rPr>
          <w:rFonts w:cs="Calibri" w:ascii="Calibri" w:hAnsi="Calibri" w:cstheme="minorHAnsi"/>
          <w:b/>
        </w:rPr>
        <w:t>Renata Michnik</w:t>
        <w:tab/>
        <w:t>- członek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1" w:leader="none"/>
          <w:tab w:val="left" w:pos="3629" w:leader="none"/>
        </w:tabs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  <w:b/>
          <w:b/>
        </w:rPr>
      </w:pPr>
      <w:r>
        <w:rPr>
          <w:rFonts w:cs="Calibri" w:ascii="Calibri" w:hAnsi="Calibri" w:cstheme="minorHAnsi"/>
          <w:b/>
        </w:rPr>
        <w:t>Janusz Hudziec</w:t>
        <w:tab/>
        <w:t>- członek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Kontrola odbyła się 22 czerwca  2021 r. w Starostwie Powiatowym  w Cieszynie, ul. Bobrecka 29. W trakcie kontroli pani Rzecznik Klaudii Bohuckiej przedstawiono członków Zespołu i omówiono zakres przeprowadzanej kontroli.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Kontrola była zgodna z planem kontroli Komisji Rewizyjnej uchwalonym przez Radę Powiatu Cieszyńskiego (uchwała nr XXIII/211/20 z 24 listopada 2020 r.).</w:t>
      </w:r>
    </w:p>
    <w:p>
      <w:pPr>
        <w:pStyle w:val="Tretekstu"/>
        <w:overflowPunct w:val="true"/>
        <w:spacing w:lineRule="auto" w:line="276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Przewodniczący poinformował, że kontrola obejmie następujące sprawy: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Podstawy prawne funkcjonowania Powiatowego Rzecznika Praw Konsumenta.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Sprawozdanie z działalności Rzecznika za 2020 r.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 xml:space="preserve">Szczegółowe omówienie 3 wytypowanych przypadków interwencji Rzecznika.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93" w:leader="none"/>
        </w:tabs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 xml:space="preserve">Omówienie obowiązków i praw Rzecznika. </w:t>
      </w:r>
    </w:p>
    <w:p>
      <w:pPr>
        <w:pStyle w:val="Nagwek4"/>
        <w:numPr>
          <w:ilvl w:val="0"/>
          <w:numId w:val="3"/>
        </w:numPr>
        <w:overflowPunct w:val="true"/>
        <w:spacing w:lineRule="auto" w:line="276" w:before="0" w:after="240"/>
        <w:ind w:left="0" w:firstLine="720"/>
        <w:rPr>
          <w:rFonts w:ascii="Calibri" w:hAnsi="Calibri" w:cs="Calibri" w:cstheme="minorHAnsi"/>
          <w:bCs w:val="false"/>
          <w:sz w:val="24"/>
          <w:szCs w:val="24"/>
          <w:u w:val="none"/>
        </w:rPr>
      </w:pPr>
      <w:r>
        <w:rPr>
          <w:rFonts w:cs="Calibri" w:ascii="Calibri" w:hAnsi="Calibri" w:cstheme="minorHAnsi"/>
          <w:bCs w:val="false"/>
          <w:sz w:val="24"/>
          <w:szCs w:val="24"/>
          <w:u w:val="thick"/>
        </w:rPr>
        <w:t>W zakresie spraw formalno - prawnych</w:t>
      </w:r>
    </w:p>
    <w:p>
      <w:pPr>
        <w:pStyle w:val="Tretekstu"/>
        <w:overflowPunct w:val="true"/>
        <w:spacing w:lineRule="auto" w:line="276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Zespół Kontrolny Komisji Rewizyjnej zapoznał się z  dokumentami stanowiącymi podstawę prawną funkcjonowania Biura Rzecznika (PRPK) i stwierdził, że do jego zadań należy w szczególności: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00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zapewnienie bezpłatnego poradnictwa konsumenckiego i informacji prawnej w zakresie ochrony interesów konsumentów,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 xml:space="preserve">składanie wniosków w sprawie stanowienia i zmiany  przepisów prawa miejscowego w zakresie ochrony interesów konsumentów,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występowanie do przedsiębiorców w sprawach ochrony praw i interesów konsumentów,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współdziałanie z Prezesem UOKiK, organami Inspekcji Handlowej oraz organizacjami konsumenckimi,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 xml:space="preserve">wytaczanie powództw na rzecz konsumentów oraz występowanie, za ich zgodą, do toczącego się postępowania   w sprawach o ochronę interesów konsumentów,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występowanie w roli oskarżyciela publicznego w sprawach o wykroczenie na szkodę konsumentów,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przekazywanie na bieżąco Prezesowi UOKiK wniosków  i sygnalizowanie problemów dot. Ochrony konsumentów, które wymagają działań przez organy administracji rządowej,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edukacja konsumencka.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96" w:leader="none"/>
        </w:tabs>
        <w:overflowPunct w:val="true"/>
        <w:spacing w:lineRule="auto" w:line="276" w:before="0" w:after="240"/>
        <w:ind w:left="900" w:hanging="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Zespół Kontrolny zauważył, że sprawy konsumenckie obejmują swoim zakresem: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umowy sprzedaży i umowy o świadczenie usług,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/>
      </w:pPr>
      <w:r>
        <w:rPr>
          <w:rFonts w:cs="Calibri" w:ascii="Calibri" w:hAnsi="Calibri" w:cstheme="minorHAnsi"/>
        </w:rPr>
        <w:t>umowy przewozowe i pocztowe,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/>
      </w:pPr>
      <w:r>
        <w:rPr>
          <w:rFonts w:cs="Calibri" w:ascii="Calibri" w:hAnsi="Calibri" w:cstheme="minorHAnsi"/>
        </w:rPr>
        <w:t>umowy telekomunikacyjne i turystyczne,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/>
      </w:pPr>
      <w:r>
        <w:rPr>
          <w:rFonts w:cs="Calibri" w:ascii="Calibri" w:hAnsi="Calibri" w:cstheme="minorHAnsi"/>
        </w:rPr>
        <w:t>umowy energetyczne,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0" w:firstLine="720"/>
        <w:jc w:val="both"/>
        <w:rPr/>
      </w:pPr>
      <w:r>
        <w:rPr>
          <w:rFonts w:cs="Calibri" w:ascii="Calibri" w:hAnsi="Calibri" w:cstheme="minorHAnsi"/>
        </w:rPr>
        <w:t>umowy edukacyjne.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96" w:leader="none"/>
        </w:tabs>
        <w:overflowPunct w:val="true"/>
        <w:spacing w:lineRule="auto" w:line="276" w:before="0" w:after="12"/>
        <w:ind w:left="900" w:hanging="0"/>
        <w:jc w:val="both"/>
        <w:rPr>
          <w:rFonts w:ascii="Calibri" w:hAnsi="Calibri" w:cs="Calibri" w:cstheme="minorHAnsi"/>
        </w:rPr>
      </w:pPr>
      <w:r>
        <w:rPr/>
      </w:r>
    </w:p>
    <w:p>
      <w:pPr>
        <w:pStyle w:val="Nagwek4"/>
        <w:overflowPunct w:val="true"/>
        <w:spacing w:lineRule="auto" w:line="276" w:before="0" w:after="240"/>
        <w:ind w:left="0" w:firstLine="720"/>
        <w:rPr>
          <w:b/>
          <w:b/>
          <w:bCs/>
        </w:rPr>
      </w:pPr>
      <w:r>
        <w:rPr>
          <w:rFonts w:cs="Calibri" w:ascii="Calibri" w:hAnsi="Calibri" w:cstheme="minorHAnsi"/>
          <w:b/>
          <w:bCs/>
          <w:sz w:val="24"/>
          <w:u w:val="thick"/>
        </w:rPr>
        <w:t>2. W zakresie spraw merytorycznych</w:t>
      </w:r>
    </w:p>
    <w:p>
      <w:pPr>
        <w:pStyle w:val="Tretekstu"/>
        <w:numPr>
          <w:ilvl w:val="0"/>
          <w:numId w:val="4"/>
        </w:numPr>
        <w:overflowPunct w:val="true"/>
        <w:spacing w:lineRule="auto" w:line="276" w:before="0" w:after="12"/>
        <w:jc w:val="both"/>
        <w:rPr>
          <w:rFonts w:ascii="Calibri" w:hAnsi="Calibri" w:cs="Calibri" w:cstheme="minorHAnsi"/>
          <w:sz w:val="24"/>
        </w:rPr>
      </w:pPr>
      <w:r>
        <w:rPr>
          <w:rFonts w:cs="Calibri" w:ascii="Calibri" w:hAnsi="Calibri" w:cstheme="minorHAnsi"/>
          <w:sz w:val="24"/>
        </w:rPr>
        <w:t xml:space="preserve">Zespół Kontrolny szczegółowo przedyskutował z panią Rzecznik sprawozdanie z działalności za 2020 r. </w:t>
      </w:r>
    </w:p>
    <w:p>
      <w:pPr>
        <w:pStyle w:val="Tretekstu"/>
        <w:numPr>
          <w:ilvl w:val="0"/>
          <w:numId w:val="4"/>
        </w:numPr>
        <w:overflowPunct w:val="true"/>
        <w:spacing w:lineRule="auto" w:line="276" w:before="0" w:after="12"/>
        <w:jc w:val="both"/>
        <w:rPr/>
      </w:pPr>
      <w:r>
        <w:rPr>
          <w:rFonts w:cs="Calibri" w:ascii="Calibri" w:hAnsi="Calibri" w:cstheme="minorHAnsi"/>
          <w:sz w:val="24"/>
        </w:rPr>
        <w:t>Zespół zapoznał się z obsadą osobową i organizacją działania Biura PRPK.</w:t>
      </w:r>
    </w:p>
    <w:p>
      <w:pPr>
        <w:pStyle w:val="Tretekstu"/>
        <w:numPr>
          <w:ilvl w:val="0"/>
          <w:numId w:val="4"/>
        </w:numPr>
        <w:overflowPunct w:val="true"/>
        <w:spacing w:lineRule="auto" w:line="276" w:before="0" w:after="240"/>
        <w:jc w:val="both"/>
        <w:rPr>
          <w:rFonts w:ascii="Calibri" w:hAnsi="Calibri" w:cs="Calibri" w:cstheme="minorHAnsi"/>
          <w:sz w:val="24"/>
        </w:rPr>
      </w:pPr>
      <w:r>
        <w:rPr>
          <w:rFonts w:cs="Calibri" w:ascii="Calibri" w:hAnsi="Calibri" w:cstheme="minorHAnsi"/>
          <w:sz w:val="24"/>
        </w:rPr>
        <w:t>Zespół omówił z panią Rzecznik 3 wytypowane sprawy, w których interweniował PRPK:</w:t>
      </w:r>
    </w:p>
    <w:p>
      <w:pPr>
        <w:pStyle w:val="Tretekstu"/>
        <w:numPr>
          <w:ilvl w:val="0"/>
          <w:numId w:val="0"/>
        </w:numPr>
        <w:overflowPunct w:val="true"/>
        <w:spacing w:lineRule="auto" w:line="276" w:before="0" w:after="240"/>
        <w:ind w:left="720" w:hanging="0"/>
        <w:jc w:val="both"/>
        <w:rPr>
          <w:rFonts w:ascii="Calibri" w:hAnsi="Calibri" w:cs="Calibri" w:cstheme="minorHAnsi"/>
          <w:sz w:val="24"/>
        </w:rPr>
      </w:pPr>
      <w:r>
        <w:rPr>
          <w:rFonts w:cs="Calibri" w:ascii="Calibri" w:hAnsi="Calibri" w:cstheme="minorHAnsi"/>
          <w:sz w:val="24"/>
        </w:rPr>
        <w:t>- sprawa nr SR.732.256.2020.KB dot. wyłudzenia odszkodowania za kolizję pojazdów,</w:t>
      </w:r>
    </w:p>
    <w:p>
      <w:pPr>
        <w:pStyle w:val="Tretekstu"/>
        <w:numPr>
          <w:ilvl w:val="0"/>
          <w:numId w:val="0"/>
        </w:numPr>
        <w:overflowPunct w:val="true"/>
        <w:spacing w:lineRule="auto" w:line="276" w:before="0" w:after="240"/>
        <w:ind w:left="720" w:hanging="0"/>
        <w:jc w:val="both"/>
        <w:rPr>
          <w:rFonts w:ascii="Calibri" w:hAnsi="Calibri" w:cs="Calibri" w:cstheme="minorHAnsi"/>
          <w:sz w:val="24"/>
        </w:rPr>
      </w:pPr>
      <w:r>
        <w:rPr>
          <w:rFonts w:cs="Calibri" w:ascii="Calibri" w:hAnsi="Calibri" w:cstheme="minorHAnsi"/>
          <w:sz w:val="24"/>
        </w:rPr>
        <w:t>- sprawa nr SR.732,21.2021.KB dot. roszczenia konsumenta wobec banku PKO BP,</w:t>
      </w:r>
    </w:p>
    <w:p>
      <w:pPr>
        <w:pStyle w:val="Tretekstu"/>
        <w:numPr>
          <w:ilvl w:val="0"/>
          <w:numId w:val="0"/>
        </w:numPr>
        <w:overflowPunct w:val="true"/>
        <w:spacing w:lineRule="auto" w:line="276" w:before="0" w:after="240"/>
        <w:ind w:left="720" w:hanging="0"/>
        <w:jc w:val="both"/>
        <w:rPr>
          <w:rFonts w:ascii="Calibri" w:hAnsi="Calibri" w:cs="Calibri" w:cstheme="minorHAnsi"/>
          <w:sz w:val="24"/>
        </w:rPr>
      </w:pPr>
      <w:r>
        <w:rPr>
          <w:rFonts w:cs="Calibri" w:ascii="Calibri" w:hAnsi="Calibri" w:cstheme="minorHAnsi"/>
          <w:sz w:val="24"/>
        </w:rPr>
        <w:t>- sprawa nr SR.732.27.2021.AF dot. Wadliwego wykonania usługi montażu paneli.</w:t>
      </w:r>
    </w:p>
    <w:p>
      <w:pPr>
        <w:pStyle w:val="Tretekstu"/>
        <w:keepNext w:val="true"/>
        <w:overflowPunct w:val="true"/>
        <w:spacing w:lineRule="auto" w:line="276" w:before="0" w:after="240"/>
        <w:ind w:firstLine="720"/>
        <w:jc w:val="center"/>
        <w:rPr>
          <w:rFonts w:ascii="Calibri" w:hAnsi="Calibri" w:cs="Calibri" w:cstheme="minorHAnsi"/>
          <w:b/>
          <w:b/>
          <w:sz w:val="24"/>
          <w:szCs w:val="25"/>
          <w:u w:val="thick"/>
        </w:rPr>
      </w:pPr>
      <w:r>
        <w:rPr>
          <w:rFonts w:cs="Calibri" w:cstheme="minorHAnsi" w:ascii="Calibri" w:hAnsi="Calibri"/>
          <w:b/>
          <w:sz w:val="24"/>
          <w:szCs w:val="25"/>
          <w:u w:val="thick"/>
        </w:rPr>
      </w:r>
    </w:p>
    <w:p>
      <w:pPr>
        <w:pStyle w:val="Tretekstu"/>
        <w:keepNext w:val="true"/>
        <w:overflowPunct w:val="true"/>
        <w:spacing w:lineRule="auto" w:line="276" w:before="0" w:after="240"/>
        <w:ind w:firstLine="720"/>
        <w:jc w:val="center"/>
        <w:rPr>
          <w:rFonts w:ascii="Calibri" w:hAnsi="Calibri" w:cs="Calibri" w:cstheme="minorHAnsi"/>
          <w:b/>
          <w:b/>
          <w:sz w:val="24"/>
          <w:szCs w:val="25"/>
        </w:rPr>
      </w:pPr>
      <w:r>
        <w:rPr>
          <w:rFonts w:cs="Calibri" w:ascii="Calibri" w:hAnsi="Calibri" w:cstheme="minorHAnsi"/>
          <w:b/>
          <w:sz w:val="24"/>
          <w:szCs w:val="25"/>
          <w:u w:val="thick"/>
        </w:rPr>
        <w:t>USTALENIA KONTROLI: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</w:rPr>
        <w:t xml:space="preserve">Zespół Kontrolny po analizie przedłożonych dokumentów oraz odpowiedziach pani Rzecznik na zadane pytania stwierdził, że Biuro PRPK w Cieszynie  działa zgodnie z przepisami prawa regulującymi jego działalność i wypełnia prawidłowo wynikające z przepisów obowiązki. 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</w:rPr>
        <w:t>Analizując organizację pracy Biura PRPK w Cieszynie Zespół Kontrolny zauważył, że w  jeden dzień tygodnia, to jest w piątek, Biuro  jest zamknięte dla interesantów. W tym dniu działalność Biura ogranicza się do prac wewnętrznych polegających na wypełnianiu obowiązków wynikających z prowadzonych spraw oraz przygotowywaniu wystąpień PRPK do instytucji zewnętrznych. Taki stan rzeczy, zdaniem Zespołu Kontrolnego, nie jest optymalny dla interesantów/konsumentów szukających pomocy u PRPK. Zespół sugeruje rozważenie zmiany organizacji Biura w ten sposób aby, zapewniając PRPK czas niezbędny na prace wewnętrzne, równocześnie zapewnić interesantom dostępność w każdym dniu tygodnia. Mogłoby to polegać np. na ograniczeniu przyjmowania interesantów w wybrane dwa dni w tygodniu w godz. 7:30 – 11:30 z równoczesnym zlikwidowaniem „dnia  wewnętrznego” w piątek.</w:t>
      </w:r>
    </w:p>
    <w:p>
      <w:pPr>
        <w:pStyle w:val="Nagwek3"/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  <w:b/>
          <w:b/>
        </w:rPr>
      </w:pPr>
      <w:r>
        <w:rPr>
          <w:rFonts w:cs="Calibri" w:ascii="Calibri" w:hAnsi="Calibri" w:cstheme="minorHAnsi"/>
          <w:b/>
        </w:rPr>
        <w:t xml:space="preserve">Zespół Kontrolny nie sformułował  </w:t>
      </w:r>
      <w:r>
        <w:rPr>
          <w:rFonts w:cs="Calibri" w:ascii="Calibri" w:hAnsi="Calibri" w:cstheme="minorHAnsi"/>
          <w:b/>
        </w:rPr>
        <w:t xml:space="preserve">żadnych </w:t>
      </w:r>
      <w:r>
        <w:rPr>
          <w:rFonts w:cs="Calibri" w:ascii="Calibri" w:hAnsi="Calibri" w:cstheme="minorHAnsi"/>
          <w:b/>
        </w:rPr>
        <w:t xml:space="preserve">zaleceń. </w:t>
      </w:r>
      <w:bookmarkStart w:id="0" w:name="_GoBack"/>
      <w:bookmarkEnd w:id="0"/>
    </w:p>
    <w:p>
      <w:pPr>
        <w:pStyle w:val="Nagwek3"/>
        <w:overflowPunct w:val="true"/>
        <w:spacing w:lineRule="auto" w:line="276" w:before="0" w:after="240"/>
        <w:ind w:left="0" w:firstLine="720"/>
        <w:jc w:val="both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>Na tym kontrolę w Biurze Powiatowego Rzecznika Praw Konsumentów w Cieszynie Zespół Kontrolujący zakończył.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Z protokołem zapoznano panią Klaudię Bohucką, Powiatowego Rzecznika Praw Konsumentów w Cieszynie.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Protokół sporządzono w trzech jednobrzmiących egzemplarzach, po jednym dla Rady Powiatu Cieszyńskiego,  Powiatowego Rzecznika Praw Konsumentów i Komisji Rewizyjnej.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>Pouczono o prawie zgłoszenia zastrzeżeń, w ciągu 3 dni od daty podpisania protokołu, co do treści zawartych w protokole.</w:t>
      </w:r>
    </w:p>
    <w:p>
      <w:pPr>
        <w:pStyle w:val="Tretekstu"/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ascii="Calibri" w:hAnsi="Calibri" w:cstheme="minorHAnsi"/>
          <w:b/>
          <w:bCs/>
          <w:sz w:val="24"/>
          <w:szCs w:val="24"/>
        </w:rPr>
        <w:t>Podpisy członków Zespołu Kontrolnego Komisji Rewizyjnej Rady Powiatu Cieszyńskiego:</w:t>
      </w:r>
    </w:p>
    <w:p>
      <w:pPr>
        <w:pStyle w:val="Tretekstu"/>
        <w:tabs>
          <w:tab w:val="clear" w:pos="720"/>
          <w:tab w:val="center" w:pos="9072" w:leader="dot"/>
        </w:tabs>
        <w:overflowPunct w:val="true"/>
        <w:spacing w:lineRule="auto" w:line="276" w:before="0" w:after="240"/>
        <w:rPr>
          <w:rFonts w:ascii="Calibri" w:hAnsi="Calibri" w:cs="Calibri" w:cs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 xml:space="preserve">Bogdan Ficek - Przewodniczący Zespołu Kontrolnego </w:t>
        <w:tab/>
      </w:r>
    </w:p>
    <w:p>
      <w:pPr>
        <w:pStyle w:val="Tretekstu"/>
        <w:tabs>
          <w:tab w:val="clear" w:pos="720"/>
          <w:tab w:val="center" w:pos="9072" w:leader="dot"/>
        </w:tabs>
        <w:overflowPunct w:val="true"/>
        <w:spacing w:lineRule="auto" w:line="276" w:before="0" w:after="240"/>
        <w:rPr>
          <w:rFonts w:ascii="Calibri" w:hAnsi="Calibri" w:cs="Calibri" w:cstheme="minorHAnsi"/>
          <w:sz w:val="24"/>
          <w:szCs w:val="122"/>
        </w:rPr>
      </w:pPr>
      <w:r>
        <w:rPr>
          <w:rFonts w:cs="Calibri" w:ascii="Calibri" w:hAnsi="Calibri" w:cstheme="minorHAnsi"/>
          <w:sz w:val="24"/>
          <w:szCs w:val="24"/>
        </w:rPr>
        <w:t>Renata Michnik - Członek Zespołu Kontrolnego</w:t>
        <w:tab/>
      </w:r>
    </w:p>
    <w:p>
      <w:pPr>
        <w:pStyle w:val="Nagwek3"/>
        <w:tabs>
          <w:tab w:val="clear" w:pos="720"/>
          <w:tab w:val="center" w:pos="9072" w:leader="dot"/>
        </w:tabs>
        <w:overflowPunct w:val="true"/>
        <w:spacing w:lineRule="auto" w:line="276" w:before="0" w:after="240"/>
        <w:ind w:left="112" w:hanging="0"/>
        <w:rPr>
          <w:rFonts w:ascii="Calibri" w:hAnsi="Calibri" w:cs="Calibri" w:cstheme="minorHAnsi"/>
        </w:rPr>
      </w:pPr>
      <w:r>
        <w:rPr>
          <w:rFonts w:cs="Calibri" w:ascii="Calibri" w:hAnsi="Calibri" w:cstheme="minorHAnsi"/>
        </w:rPr>
        <w:t xml:space="preserve">Janusz Hudziec - Członek Zespołu Kontrolnego </w:t>
        <w:tab/>
      </w:r>
    </w:p>
    <w:p>
      <w:pPr>
        <w:pStyle w:val="Tretekstu"/>
        <w:tabs>
          <w:tab w:val="clear" w:pos="720"/>
          <w:tab w:val="center" w:pos="9072" w:leader="dot"/>
        </w:tabs>
        <w:overflowPunct w:val="true"/>
        <w:spacing w:lineRule="auto" w:line="276" w:before="0" w:after="240"/>
        <w:ind w:firstLine="720"/>
        <w:jc w:val="both"/>
        <w:rPr>
          <w:rFonts w:ascii="Calibri" w:hAnsi="Calibri" w:cs="Calibri" w:cstheme="minorHAnsi"/>
          <w:b/>
          <w:b/>
          <w:bCs/>
          <w:sz w:val="24"/>
        </w:rPr>
      </w:pPr>
      <w:r>
        <w:rPr>
          <w:rFonts w:cs="Calibri" w:ascii="Calibri" w:hAnsi="Calibri" w:cstheme="minorHAnsi"/>
          <w:b/>
          <w:bCs/>
          <w:sz w:val="24"/>
        </w:rPr>
        <w:t>Podpis Przedstawiciela kontrolowanej jednostki Biura PRPK  w Cieszynie</w:t>
      </w:r>
    </w:p>
    <w:p>
      <w:pPr>
        <w:pStyle w:val="Tretekstu"/>
        <w:tabs>
          <w:tab w:val="clear" w:pos="720"/>
          <w:tab w:val="center" w:pos="9072" w:leader="dot"/>
        </w:tabs>
        <w:overflowPunct w:val="true"/>
        <w:spacing w:lineRule="auto" w:line="276" w:before="0" w:after="240"/>
        <w:jc w:val="both"/>
        <w:rPr/>
      </w:pPr>
      <w:r>
        <w:rPr>
          <w:rFonts w:cs="Calibri" w:ascii="Calibri" w:hAnsi="Calibri" w:cstheme="minorHAnsi"/>
          <w:sz w:val="24"/>
        </w:rPr>
        <w:t xml:space="preserve">Klaudia Bohucka – Powiatowy Rzecznik  Praw Konsumenta  </w:t>
        <w:tab/>
      </w:r>
    </w:p>
    <w:sectPr>
      <w:footerReference w:type="default" r:id="rId2"/>
      <w:type w:val="nextPage"/>
      <w:pgSz w:w="11906" w:h="16850"/>
      <w:pgMar w:left="1417" w:right="1417" w:header="0" w:top="1417" w:footer="708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8889681"/>
    </w:sdtPr>
    <w:sdtContent>
      <w:p>
        <w:pPr>
          <w:pStyle w:val="Stopka"/>
          <w:jc w:val="center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Strona </w:t>
        </w:r>
        <w:r>
          <w:rPr>
            <w:rFonts w:cs="Calibri" w:ascii="Calibri" w:hAnsi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0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0"/>
            <w:bCs/>
            <w:rFonts w:cs="Calibri" w:ascii="Calibri" w:hAnsi="Calibri"/>
          </w:rPr>
          <w:t>4</w:t>
        </w:r>
        <w:r>
          <w:rPr>
            <w:sz w:val="20"/>
            <w:b/>
            <w:szCs w:val="20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 z </w:t>
        </w:r>
        <w:r>
          <w:rPr>
            <w:rFonts w:cs="Calibri" w:ascii="Calibri" w:hAnsi="Calibri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0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0"/>
            <w:bCs/>
            <w:rFonts w:cs="Calibri" w:ascii="Calibri" w:hAnsi="Calibri"/>
          </w:rPr>
          <w:t>4</w:t>
        </w:r>
        <w:r>
          <w:rPr>
            <w:sz w:val="20"/>
            <w:b/>
            <w:szCs w:val="20"/>
            <w:bCs/>
            <w:rFonts w:cs="Calibri" w:ascii="Calibri" w:hAnsi="Calibri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27" w:hanging="19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900" w:hanging="35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80" w:hanging="3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1" w:hanging="3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2" w:hanging="3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3" w:hanging="3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4" w:hanging="3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85" w:hanging="3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66" w:hanging="359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37" w:hanging="356"/>
      </w:pPr>
      <w:rPr>
        <w:sz w:val="24"/>
        <w:b/>
        <w:szCs w:val="24"/>
        <w:bCs w:val="false"/>
        <w:w w:val="109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9" w:hanging="359"/>
      </w:pPr>
      <w:rPr>
        <w:sz w:val="24"/>
        <w:b w:val="false"/>
        <w:szCs w:val="24"/>
        <w:bCs w:val="false"/>
        <w:w w:val="102"/>
        <w:rFonts w:ascii="Calibri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7" w:hanging="3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5" w:hanging="3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82" w:hanging="3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90" w:hanging="3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98" w:hanging="3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05" w:hanging="3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13" w:hanging="35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89" w:hanging="360"/>
      </w:pPr>
      <w:rPr>
        <w:sz w:val="24"/>
        <w:u w:val="none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9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1"/>
    <w:qFormat/>
    <w:pPr>
      <w:ind w:left="1049" w:right="4539" w:hanging="0"/>
      <w:jc w:val="center"/>
      <w:outlineLvl w:val="0"/>
    </w:pPr>
    <w:rPr>
      <w:sz w:val="39"/>
      <w:szCs w:val="39"/>
    </w:rPr>
  </w:style>
  <w:style w:type="paragraph" w:styleId="Nagwek2">
    <w:name w:val="Heading 2"/>
    <w:basedOn w:val="Normal"/>
    <w:next w:val="Normal"/>
    <w:link w:val="Nagwek2Znak"/>
    <w:uiPriority w:val="1"/>
    <w:qFormat/>
    <w:pPr>
      <w:outlineLvl w:val="1"/>
    </w:pPr>
    <w:rPr>
      <w:b/>
      <w:bCs/>
      <w:sz w:val="25"/>
      <w:szCs w:val="25"/>
      <w:u w:val="single"/>
    </w:rPr>
  </w:style>
  <w:style w:type="paragraph" w:styleId="Nagwek3">
    <w:name w:val="Heading 3"/>
    <w:basedOn w:val="Normal"/>
    <w:next w:val="Normal"/>
    <w:link w:val="Nagwek3Znak"/>
    <w:uiPriority w:val="1"/>
    <w:qFormat/>
    <w:pPr>
      <w:ind w:left="112" w:hanging="0"/>
      <w:outlineLvl w:val="2"/>
    </w:pPr>
    <w:rPr/>
  </w:style>
  <w:style w:type="paragraph" w:styleId="Nagwek4">
    <w:name w:val="Heading 4"/>
    <w:basedOn w:val="Normal"/>
    <w:next w:val="Normal"/>
    <w:link w:val="Nagwek4Znak"/>
    <w:uiPriority w:val="1"/>
    <w:qFormat/>
    <w:pPr>
      <w:ind w:left="106" w:hanging="0"/>
      <w:jc w:val="both"/>
      <w:outlineLvl w:val="3"/>
    </w:pPr>
    <w:rPr>
      <w:b/>
      <w:bCs/>
      <w:sz w:val="23"/>
      <w:szCs w:val="23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Pr>
      <w:b/>
      <w:bCs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02c6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02c6"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102c6"/>
    <w:rPr>
      <w:rFonts w:ascii="Times New Roman" w:hAnsi="Times New Roman" w:cs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/>
    <w:rPr>
      <w:sz w:val="23"/>
      <w:szCs w:val="23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3" w:after="0"/>
      <w:ind w:left="900" w:hanging="366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02c6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02c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102c6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LibreOffice/7.0.3.1$Windows_X86_64 LibreOffice_project/d7547858d014d4cf69878db179d326fc3483e082</Application>
  <Pages>4</Pages>
  <Words>652</Words>
  <Characters>4295</Characters>
  <CharactersWithSpaces>4900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2019-08-20T11:22:00Z</dcterms:created>
  <dc:creator>Natalia Pawłowska</dc:creator>
  <dc:description/>
  <dc:language>pl-PL</dc:language>
  <cp:lastModifiedBy/>
  <dcterms:modified xsi:type="dcterms:W3CDTF">2021-06-24T17:27:50Z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